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AB" w:rsidRDefault="00865A55">
      <w:pPr>
        <w:jc w:val="left"/>
        <w:rPr>
          <w:rFonts w:ascii="黑体" w:eastAsia="黑体" w:hAnsi="Calibri"/>
          <w:sz w:val="32"/>
          <w:szCs w:val="32"/>
        </w:rPr>
      </w:pPr>
      <w:r>
        <w:rPr>
          <w:rFonts w:ascii="黑体" w:eastAsia="黑体" w:hAnsi="Calibri" w:hint="eastAsia"/>
          <w:noProof/>
          <w:sz w:val="32"/>
          <w:szCs w:val="32"/>
        </w:rPr>
        <w:drawing>
          <wp:inline distT="0" distB="0" distL="0" distR="0">
            <wp:extent cx="5274310" cy="564724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5647241"/>
                    </a:xfrm>
                    <a:prstGeom prst="rect">
                      <a:avLst/>
                    </a:prstGeom>
                    <a:noFill/>
                    <a:ln w="9525">
                      <a:noFill/>
                      <a:miter lim="800000"/>
                      <a:headEnd/>
                      <a:tailEnd/>
                    </a:ln>
                  </pic:spPr>
                </pic:pic>
              </a:graphicData>
            </a:graphic>
          </wp:inline>
        </w:drawing>
      </w:r>
      <w:r>
        <w:rPr>
          <w:rFonts w:ascii="黑体" w:eastAsia="黑体" w:hAnsi="Calibri" w:hint="eastAsia"/>
          <w:noProof/>
          <w:sz w:val="32"/>
          <w:szCs w:val="32"/>
        </w:rPr>
        <w:lastRenderedPageBreak/>
        <w:drawing>
          <wp:inline distT="0" distB="0" distL="0" distR="0">
            <wp:extent cx="5274310" cy="6559193"/>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274310" cy="6559193"/>
                    </a:xfrm>
                    <a:prstGeom prst="rect">
                      <a:avLst/>
                    </a:prstGeom>
                    <a:noFill/>
                    <a:ln w="9525">
                      <a:noFill/>
                      <a:miter lim="800000"/>
                      <a:headEnd/>
                      <a:tailEnd/>
                    </a:ln>
                  </pic:spPr>
                </pic:pic>
              </a:graphicData>
            </a:graphic>
          </wp:inline>
        </w:drawing>
      </w:r>
      <w:r>
        <w:rPr>
          <w:rFonts w:ascii="黑体" w:eastAsia="黑体" w:hAnsi="Calibri" w:hint="eastAsia"/>
          <w:sz w:val="32"/>
          <w:szCs w:val="32"/>
        </w:rPr>
        <w:t>附件</w:t>
      </w:r>
    </w:p>
    <w:p w:rsidR="00D305AB" w:rsidRDefault="00865A55">
      <w:pPr>
        <w:jc w:val="center"/>
        <w:rPr>
          <w:rFonts w:ascii="黑体" w:eastAsia="黑体" w:hAnsi="黑体" w:cs="黑体"/>
          <w:sz w:val="36"/>
          <w:szCs w:val="36"/>
        </w:rPr>
      </w:pPr>
      <w:bookmarkStart w:id="0" w:name="_GoBack"/>
      <w:r>
        <w:rPr>
          <w:rFonts w:ascii="黑体" w:eastAsia="黑体" w:hAnsi="Calibri" w:hint="eastAsia"/>
          <w:sz w:val="36"/>
          <w:szCs w:val="36"/>
        </w:rPr>
        <w:t>2021年度株洲市社科职教专项</w:t>
      </w:r>
      <w:r>
        <w:rPr>
          <w:rFonts w:ascii="黑体" w:eastAsia="黑体" w:hAnsi="黑体" w:cs="黑体" w:hint="eastAsia"/>
          <w:sz w:val="36"/>
          <w:szCs w:val="36"/>
        </w:rPr>
        <w:t>课题立项名单</w:t>
      </w:r>
    </w:p>
    <w:p w:rsidR="00865A55" w:rsidRDefault="00865A55" w:rsidP="00865A55">
      <w:pPr>
        <w:rPr>
          <w:rFonts w:ascii="黑体" w:eastAsia="黑体" w:hAnsi="黑体" w:cs="黑体"/>
          <w:kern w:val="0"/>
          <w:sz w:val="28"/>
          <w:szCs w:val="28"/>
        </w:rPr>
      </w:pPr>
      <w:r>
        <w:rPr>
          <w:rFonts w:ascii="黑体" w:eastAsia="黑体" w:hAnsi="黑体" w:cs="黑体" w:hint="eastAsia"/>
          <w:kern w:val="0"/>
          <w:sz w:val="28"/>
          <w:szCs w:val="28"/>
        </w:rPr>
        <w:t>一、重点资助课题</w:t>
      </w:r>
    </w:p>
    <w:p w:rsidR="00865A55" w:rsidRDefault="00865A55">
      <w:pPr>
        <w:jc w:val="center"/>
      </w:pPr>
    </w:p>
    <w:bookmarkEnd w:id="0"/>
    <w:tbl>
      <w:tblPr>
        <w:tblStyle w:val="a3"/>
        <w:tblpPr w:leftFromText="180" w:rightFromText="180" w:vertAnchor="page" w:horzAnchor="page" w:tblpX="1810" w:tblpY="3230"/>
        <w:tblOverlap w:val="never"/>
        <w:tblW w:w="8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7"/>
      </w:tblGrid>
      <w:tr w:rsidR="00D305AB">
        <w:trPr>
          <w:trHeight w:val="779"/>
        </w:trPr>
        <w:tc>
          <w:tcPr>
            <w:tcW w:w="8737" w:type="dxa"/>
            <w:vAlign w:val="center"/>
          </w:tcPr>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黑体" w:eastAsia="黑体" w:hAnsi="黑体" w:cs="黑体"/>
                <w:kern w:val="0"/>
                <w:sz w:val="28"/>
                <w:szCs w:val="28"/>
              </w:rPr>
            </w:pPr>
          </w:p>
          <w:p w:rsidR="00865A55" w:rsidRDefault="00865A55">
            <w:pPr>
              <w:rPr>
                <w:rFonts w:ascii="仿宋_GB2312" w:eastAsia="仿宋_GB2312" w:hAnsi="仿宋_GB2312" w:cs="仿宋_GB2312"/>
                <w:sz w:val="24"/>
              </w:rPr>
            </w:pPr>
          </w:p>
        </w:tc>
      </w:tr>
    </w:tbl>
    <w:p w:rsidR="00865A55" w:rsidRDefault="00865A55"/>
    <w:p w:rsidR="00865A55" w:rsidRDefault="00865A55"/>
    <w:tbl>
      <w:tblPr>
        <w:tblStyle w:val="a3"/>
        <w:tblpPr w:leftFromText="180" w:rightFromText="180" w:vertAnchor="page" w:horzAnchor="page" w:tblpX="1810" w:tblpY="1267"/>
        <w:tblOverlap w:val="never"/>
        <w:tblW w:w="8737" w:type="dxa"/>
        <w:tblLayout w:type="fixed"/>
        <w:tblLook w:val="04A0"/>
      </w:tblPr>
      <w:tblGrid>
        <w:gridCol w:w="1740"/>
        <w:gridCol w:w="3622"/>
        <w:gridCol w:w="1140"/>
        <w:gridCol w:w="2235"/>
      </w:tblGrid>
      <w:tr w:rsidR="00D305AB">
        <w:trPr>
          <w:trHeight w:val="658"/>
        </w:trPr>
        <w:tc>
          <w:tcPr>
            <w:tcW w:w="1740" w:type="dxa"/>
            <w:vAlign w:val="center"/>
          </w:tcPr>
          <w:p w:rsidR="00D305AB" w:rsidRDefault="00865A55">
            <w:pPr>
              <w:jc w:val="center"/>
              <w:rPr>
                <w:rFonts w:ascii="仿宋_GB2312" w:eastAsia="仿宋_GB2312" w:hAnsi="仿宋_GB2312" w:cs="仿宋_GB2312"/>
                <w:sz w:val="24"/>
              </w:rPr>
            </w:pPr>
            <w:r>
              <w:rPr>
                <w:rFonts w:ascii="楷体_GB2312" w:eastAsia="楷体_GB2312" w:hAnsi="宋体" w:cs="宋体" w:hint="eastAsia"/>
                <w:b/>
                <w:bCs/>
                <w:kern w:val="0"/>
                <w:sz w:val="24"/>
              </w:rPr>
              <w:lastRenderedPageBreak/>
              <w:t>序号</w:t>
            </w:r>
          </w:p>
        </w:tc>
        <w:tc>
          <w:tcPr>
            <w:tcW w:w="3622" w:type="dxa"/>
            <w:vAlign w:val="center"/>
          </w:tcPr>
          <w:p w:rsidR="00D305AB" w:rsidRDefault="00865A55">
            <w:pPr>
              <w:jc w:val="center"/>
              <w:rPr>
                <w:rFonts w:ascii="仿宋_GB2312" w:eastAsia="仿宋_GB2312" w:hAnsi="仿宋_GB2312" w:cs="仿宋_GB2312"/>
                <w:sz w:val="24"/>
              </w:rPr>
            </w:pPr>
            <w:r>
              <w:rPr>
                <w:rFonts w:ascii="楷体_GB2312" w:eastAsia="楷体_GB2312" w:hAnsi="宋体" w:cs="宋体" w:hint="eastAsia"/>
                <w:b/>
                <w:bCs/>
                <w:kern w:val="0"/>
                <w:sz w:val="24"/>
              </w:rPr>
              <w:t>课题名称</w:t>
            </w:r>
          </w:p>
        </w:tc>
        <w:tc>
          <w:tcPr>
            <w:tcW w:w="1140" w:type="dxa"/>
            <w:vAlign w:val="center"/>
          </w:tcPr>
          <w:p w:rsidR="00D305AB" w:rsidRDefault="00865A55">
            <w:pPr>
              <w:jc w:val="center"/>
              <w:rPr>
                <w:rFonts w:ascii="仿宋_GB2312" w:eastAsia="仿宋_GB2312" w:hAnsi="仿宋_GB2312" w:cs="仿宋_GB2312"/>
                <w:sz w:val="24"/>
              </w:rPr>
            </w:pPr>
            <w:r>
              <w:rPr>
                <w:rFonts w:ascii="楷体_GB2312" w:eastAsia="楷体_GB2312" w:hAnsi="宋体" w:cs="宋体" w:hint="eastAsia"/>
                <w:b/>
                <w:bCs/>
                <w:kern w:val="0"/>
                <w:sz w:val="24"/>
              </w:rPr>
              <w:t>课题负责人</w:t>
            </w:r>
          </w:p>
        </w:tc>
        <w:tc>
          <w:tcPr>
            <w:tcW w:w="2235" w:type="dxa"/>
            <w:vAlign w:val="center"/>
          </w:tcPr>
          <w:p w:rsidR="00D305AB" w:rsidRDefault="00865A55">
            <w:pPr>
              <w:jc w:val="center"/>
              <w:rPr>
                <w:rFonts w:ascii="仿宋_GB2312" w:eastAsia="仿宋_GB2312" w:hAnsi="仿宋_GB2312" w:cs="仿宋_GB2312"/>
                <w:sz w:val="24"/>
              </w:rPr>
            </w:pPr>
            <w:r>
              <w:rPr>
                <w:rFonts w:ascii="楷体_GB2312" w:eastAsia="楷体_GB2312" w:hAnsi="宋体" w:cs="宋体" w:hint="eastAsia"/>
                <w:b/>
                <w:bCs/>
                <w:kern w:val="0"/>
                <w:sz w:val="24"/>
              </w:rPr>
              <w:t>工作单位</w:t>
            </w:r>
          </w:p>
        </w:tc>
      </w:tr>
      <w:tr w:rsidR="00D305AB">
        <w:trPr>
          <w:trHeight w:val="964"/>
        </w:trPr>
        <w:tc>
          <w:tcPr>
            <w:tcW w:w="1740" w:type="dxa"/>
            <w:vAlign w:val="center"/>
          </w:tcPr>
          <w:p w:rsidR="00D305AB" w:rsidRDefault="00865A55">
            <w:pPr>
              <w:jc w:val="center"/>
              <w:rPr>
                <w:rFonts w:ascii="仿宋_GB2312" w:eastAsia="仿宋_GB2312" w:hAnsi="仿宋_GB2312" w:cs="仿宋_GB2312"/>
                <w:sz w:val="24"/>
              </w:rPr>
            </w:pPr>
            <w:r>
              <w:rPr>
                <w:rFonts w:asciiTheme="majorEastAsia" w:eastAsiaTheme="majorEastAsia" w:hAnsiTheme="majorEastAsia" w:cstheme="majorEastAsia" w:hint="eastAsia"/>
                <w:b/>
                <w:bCs/>
                <w:sz w:val="24"/>
              </w:rPr>
              <w:t>SKZJ2021001</w:t>
            </w:r>
          </w:p>
        </w:tc>
        <w:tc>
          <w:tcPr>
            <w:tcW w:w="3622" w:type="dxa"/>
            <w:vAlign w:val="center"/>
          </w:tcPr>
          <w:p w:rsidR="00D305AB" w:rsidRDefault="00865A55">
            <w:pPr>
              <w:rPr>
                <w:rFonts w:ascii="仿宋_GB2312" w:eastAsia="仿宋_GB2312" w:hAnsi="仿宋_GB2312" w:cs="仿宋_GB2312"/>
                <w:sz w:val="24"/>
              </w:rPr>
            </w:pPr>
            <w:r>
              <w:rPr>
                <w:rFonts w:ascii="仿宋_GB2312" w:eastAsia="仿宋_GB2312" w:hAnsi="仿宋_GB2312" w:cs="仿宋_GB2312" w:hint="eastAsia"/>
                <w:sz w:val="24"/>
              </w:rPr>
              <w:t>“十四五株洲市职业教育发展规划研究”</w:t>
            </w:r>
          </w:p>
        </w:tc>
        <w:tc>
          <w:tcPr>
            <w:tcW w:w="1140" w:type="dxa"/>
            <w:vAlign w:val="center"/>
          </w:tcPr>
          <w:p w:rsidR="00D305AB" w:rsidRDefault="00865A55">
            <w:pPr>
              <w:jc w:val="center"/>
              <w:rPr>
                <w:rFonts w:ascii="仿宋_GB2312" w:eastAsia="仿宋_GB2312" w:hAnsi="仿宋_GB2312" w:cs="仿宋_GB2312"/>
                <w:sz w:val="24"/>
              </w:rPr>
            </w:pPr>
            <w:r>
              <w:rPr>
                <w:rFonts w:ascii="仿宋_GB2312" w:eastAsia="仿宋_GB2312" w:hAnsi="仿宋_GB2312" w:cs="仿宋_GB2312" w:hint="eastAsia"/>
                <w:color w:val="000000" w:themeColor="text1"/>
                <w:sz w:val="24"/>
              </w:rPr>
              <w:t>刘燕玲</w:t>
            </w:r>
          </w:p>
        </w:tc>
        <w:tc>
          <w:tcPr>
            <w:tcW w:w="2235" w:type="dxa"/>
            <w:vAlign w:val="center"/>
          </w:tcPr>
          <w:p w:rsidR="00D305AB" w:rsidRDefault="00865A55">
            <w:pPr>
              <w:jc w:val="center"/>
              <w:rPr>
                <w:rFonts w:ascii="仿宋_GB2312" w:eastAsia="仿宋_GB2312" w:hAnsi="仿宋_GB2312" w:cs="仿宋_GB2312"/>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仿宋_GB2312" w:eastAsia="仿宋_GB2312" w:hAnsi="仿宋_GB2312" w:cs="仿宋_GB2312"/>
                <w:sz w:val="24"/>
              </w:rPr>
            </w:pPr>
            <w:r>
              <w:rPr>
                <w:rFonts w:asciiTheme="majorEastAsia" w:eastAsiaTheme="majorEastAsia" w:hAnsiTheme="majorEastAsia" w:cstheme="majorEastAsia" w:hint="eastAsia"/>
                <w:b/>
                <w:bCs/>
                <w:sz w:val="24"/>
              </w:rPr>
              <w:t>SKZJ2021002</w:t>
            </w:r>
          </w:p>
        </w:tc>
        <w:tc>
          <w:tcPr>
            <w:tcW w:w="3622" w:type="dxa"/>
            <w:vAlign w:val="center"/>
          </w:tcPr>
          <w:p w:rsidR="00D305AB" w:rsidRDefault="00865A55">
            <w:pPr>
              <w:rPr>
                <w:rFonts w:ascii="仿宋_GB2312" w:eastAsia="仿宋_GB2312" w:hAnsi="仿宋_GB2312" w:cs="仿宋_GB2312"/>
                <w:sz w:val="24"/>
              </w:rPr>
            </w:pPr>
            <w:r>
              <w:rPr>
                <w:rFonts w:ascii="仿宋_GB2312" w:eastAsia="仿宋_GB2312" w:hAnsi="仿宋_GB2312" w:cs="仿宋_GB2312" w:hint="eastAsia"/>
                <w:sz w:val="24"/>
              </w:rPr>
              <w:t>产教融合型城市与产教融合企业建设研究</w:t>
            </w:r>
          </w:p>
        </w:tc>
        <w:tc>
          <w:tcPr>
            <w:tcW w:w="1140" w:type="dxa"/>
            <w:vAlign w:val="center"/>
          </w:tcPr>
          <w:p w:rsidR="00D305AB" w:rsidRDefault="00865A55">
            <w:pPr>
              <w:jc w:val="center"/>
              <w:rPr>
                <w:rFonts w:ascii="仿宋_GB2312" w:eastAsia="仿宋_GB2312" w:hAnsi="仿宋_GB2312" w:cs="仿宋_GB2312"/>
                <w:sz w:val="24"/>
              </w:rPr>
            </w:pPr>
            <w:r>
              <w:rPr>
                <w:rFonts w:ascii="仿宋_GB2312" w:eastAsia="仿宋_GB2312" w:hAnsi="仿宋_GB2312" w:cs="仿宋_GB2312" w:hint="eastAsia"/>
                <w:color w:val="000000" w:themeColor="text1"/>
                <w:sz w:val="24"/>
              </w:rPr>
              <w:t>李正军</w:t>
            </w:r>
          </w:p>
        </w:tc>
        <w:tc>
          <w:tcPr>
            <w:tcW w:w="2235" w:type="dxa"/>
            <w:vAlign w:val="center"/>
          </w:tcPr>
          <w:p w:rsidR="00D305AB" w:rsidRDefault="00865A55">
            <w:pPr>
              <w:jc w:val="center"/>
              <w:rPr>
                <w:rFonts w:ascii="仿宋_GB2312" w:eastAsia="仿宋_GB2312" w:hAnsi="仿宋_GB2312" w:cs="仿宋_GB2312"/>
                <w:sz w:val="24"/>
              </w:rPr>
            </w:pPr>
            <w:r>
              <w:rPr>
                <w:rFonts w:ascii="仿宋_GB2312" w:eastAsia="仿宋_GB2312" w:hAnsi="仿宋_GB2312" w:cs="仿宋_GB2312" w:hint="eastAsia"/>
                <w:color w:val="000000" w:themeColor="text1"/>
                <w:sz w:val="24"/>
              </w:rPr>
              <w:t>湖南工业大学</w:t>
            </w:r>
          </w:p>
        </w:tc>
      </w:tr>
      <w:tr w:rsidR="00D305AB">
        <w:trPr>
          <w:trHeight w:val="577"/>
        </w:trPr>
        <w:tc>
          <w:tcPr>
            <w:tcW w:w="8737" w:type="dxa"/>
            <w:gridSpan w:val="4"/>
            <w:vAlign w:val="center"/>
          </w:tcPr>
          <w:p w:rsidR="00D305AB" w:rsidRDefault="00865A55">
            <w:r>
              <w:rPr>
                <w:rFonts w:ascii="黑体" w:eastAsia="黑体" w:hAnsi="黑体" w:cs="黑体" w:hint="eastAsia"/>
                <w:kern w:val="0"/>
                <w:sz w:val="28"/>
                <w:szCs w:val="28"/>
              </w:rPr>
              <w:t>二、一般资助课题</w:t>
            </w:r>
          </w:p>
        </w:tc>
      </w:tr>
      <w:tr w:rsidR="00D305AB">
        <w:trPr>
          <w:trHeight w:val="703"/>
        </w:trPr>
        <w:tc>
          <w:tcPr>
            <w:tcW w:w="1740" w:type="dxa"/>
            <w:vAlign w:val="center"/>
          </w:tcPr>
          <w:p w:rsidR="00D305AB" w:rsidRDefault="00865A55">
            <w:pPr>
              <w:jc w:val="center"/>
              <w:rPr>
                <w:rFonts w:ascii="楷体_GB2312" w:eastAsia="楷体_GB2312" w:hAnsi="宋体" w:cs="宋体"/>
                <w:b/>
                <w:bCs/>
                <w:kern w:val="0"/>
                <w:sz w:val="24"/>
              </w:rPr>
            </w:pPr>
            <w:r>
              <w:rPr>
                <w:rFonts w:ascii="楷体_GB2312" w:eastAsia="楷体_GB2312" w:hAnsi="宋体" w:cs="宋体" w:hint="eastAsia"/>
                <w:b/>
                <w:bCs/>
                <w:kern w:val="0"/>
                <w:sz w:val="24"/>
              </w:rPr>
              <w:t>序号</w:t>
            </w:r>
          </w:p>
        </w:tc>
        <w:tc>
          <w:tcPr>
            <w:tcW w:w="3622" w:type="dxa"/>
            <w:vAlign w:val="center"/>
          </w:tcPr>
          <w:p w:rsidR="00D305AB" w:rsidRDefault="00865A55">
            <w:pPr>
              <w:jc w:val="center"/>
              <w:rPr>
                <w:rFonts w:ascii="楷体_GB2312" w:eastAsia="楷体_GB2312" w:hAnsi="宋体" w:cs="宋体"/>
                <w:b/>
                <w:bCs/>
                <w:kern w:val="0"/>
                <w:sz w:val="24"/>
              </w:rPr>
            </w:pPr>
            <w:r>
              <w:rPr>
                <w:rFonts w:ascii="楷体_GB2312" w:eastAsia="楷体_GB2312" w:hAnsi="宋体" w:cs="宋体" w:hint="eastAsia"/>
                <w:b/>
                <w:bCs/>
                <w:kern w:val="0"/>
                <w:sz w:val="24"/>
              </w:rPr>
              <w:t>课题名称</w:t>
            </w:r>
          </w:p>
        </w:tc>
        <w:tc>
          <w:tcPr>
            <w:tcW w:w="1140" w:type="dxa"/>
            <w:vAlign w:val="center"/>
          </w:tcPr>
          <w:p w:rsidR="00D305AB" w:rsidRDefault="00865A55">
            <w:pPr>
              <w:jc w:val="center"/>
              <w:rPr>
                <w:rFonts w:ascii="楷体_GB2312" w:eastAsia="楷体_GB2312" w:hAnsi="宋体" w:cs="宋体"/>
                <w:b/>
                <w:bCs/>
                <w:kern w:val="0"/>
                <w:sz w:val="24"/>
              </w:rPr>
            </w:pPr>
            <w:r>
              <w:rPr>
                <w:rFonts w:ascii="楷体_GB2312" w:eastAsia="楷体_GB2312" w:hAnsi="宋体" w:cs="宋体" w:hint="eastAsia"/>
                <w:b/>
                <w:bCs/>
                <w:kern w:val="0"/>
                <w:sz w:val="24"/>
              </w:rPr>
              <w:t>课题负责人</w:t>
            </w:r>
          </w:p>
        </w:tc>
        <w:tc>
          <w:tcPr>
            <w:tcW w:w="2235" w:type="dxa"/>
            <w:vAlign w:val="center"/>
          </w:tcPr>
          <w:p w:rsidR="00D305AB" w:rsidRDefault="00865A55">
            <w:pPr>
              <w:jc w:val="center"/>
              <w:rPr>
                <w:rFonts w:ascii="楷体_GB2312" w:eastAsia="楷体_GB2312" w:hAnsi="宋体" w:cs="宋体"/>
                <w:b/>
                <w:bCs/>
                <w:kern w:val="0"/>
                <w:sz w:val="24"/>
              </w:rPr>
            </w:pPr>
            <w:r>
              <w:rPr>
                <w:rFonts w:ascii="楷体_GB2312" w:eastAsia="楷体_GB2312" w:hAnsi="宋体" w:cs="宋体" w:hint="eastAsia"/>
                <w:b/>
                <w:bCs/>
                <w:kern w:val="0"/>
                <w:sz w:val="24"/>
              </w:rPr>
              <w:t>工作单位</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SKZJ2021003</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“十四五”株洲市职业教育发展规划研究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李忠华</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湖南铁道职业技术学院 </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SKZJ2021004</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职业教育专业教学资源库的建设、应用和持续更新机制研究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魏丽君</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湖南铁道职业技术学院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SKZJ2021005</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职业院校学生学习能力调查</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武文娟</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湖南化工职业技术学院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SKZJ2021006</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1+X证书制度和国家资历框架试点实践研究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刘  莉</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879"/>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SKZJ2021007</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株洲市职业教育“立交桥”研究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陈  芳</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trPr>
          <w:trHeight w:val="849"/>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SKZJ2021008</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sz w:val="24"/>
              </w:rPr>
              <w:t>株洲新兴产业技能人才供需关系分析</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胡琴芳</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湖南工业大学</w:t>
            </w:r>
          </w:p>
        </w:tc>
      </w:tr>
      <w:tr w:rsidR="00D305AB">
        <w:trPr>
          <w:trHeight w:val="90"/>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SKZJ2021009</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“双高”建设背景下高职院校留学生人人培养模式创新研究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  哲</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湖南汽车工程职业学院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SKZJ2021010</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株洲千亿产业群战略背景下航空技术装备产业学院建设内容与运行机制研究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张  志</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湖南工贸技师学院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SKZJ2021011</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中华优秀传统文化融入高职院校思政教育工作研究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  敏</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中共株洲市委党校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SKZJ2021012</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职业院校学生思想政治状况研究—--以智媒体时代为背景</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李金莹</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湖南中医药高等专科学校  </w:t>
            </w:r>
          </w:p>
        </w:tc>
      </w:tr>
      <w:tr w:rsidR="00D305AB">
        <w:trPr>
          <w:trHeight w:val="720"/>
        </w:trPr>
        <w:tc>
          <w:tcPr>
            <w:tcW w:w="8737" w:type="dxa"/>
            <w:gridSpan w:val="4"/>
            <w:vAlign w:val="center"/>
          </w:tcPr>
          <w:p w:rsidR="00D305AB" w:rsidRDefault="00865A55">
            <w:pPr>
              <w:jc w:val="left"/>
              <w:rPr>
                <w:rFonts w:ascii="仿宋_GB2312" w:eastAsia="仿宋_GB2312" w:hAnsi="仿宋_GB2312" w:cs="仿宋_GB2312"/>
                <w:color w:val="000000" w:themeColor="text1"/>
                <w:sz w:val="24"/>
              </w:rPr>
            </w:pPr>
            <w:r>
              <w:rPr>
                <w:rFonts w:ascii="黑体" w:eastAsia="黑体" w:hAnsi="黑体" w:cs="黑体" w:hint="eastAsia"/>
                <w:kern w:val="0"/>
                <w:sz w:val="28"/>
                <w:szCs w:val="28"/>
              </w:rPr>
              <w:t>三、一般立项课题</w:t>
            </w:r>
          </w:p>
        </w:tc>
      </w:tr>
      <w:tr w:rsidR="00D305AB">
        <w:trPr>
          <w:trHeight w:val="720"/>
        </w:trPr>
        <w:tc>
          <w:tcPr>
            <w:tcW w:w="1740" w:type="dxa"/>
            <w:vAlign w:val="center"/>
          </w:tcPr>
          <w:p w:rsidR="00D305AB" w:rsidRDefault="00865A55">
            <w:pPr>
              <w:jc w:val="center"/>
              <w:rPr>
                <w:rFonts w:ascii="楷体_GB2312" w:eastAsia="楷体_GB2312" w:hAnsi="宋体" w:cs="宋体"/>
                <w:b/>
                <w:bCs/>
                <w:kern w:val="0"/>
                <w:sz w:val="30"/>
                <w:szCs w:val="30"/>
              </w:rPr>
            </w:pPr>
            <w:r>
              <w:rPr>
                <w:rFonts w:ascii="楷体_GB2312" w:eastAsia="楷体_GB2312" w:hAnsi="宋体" w:cs="宋体" w:hint="eastAsia"/>
                <w:b/>
                <w:bCs/>
                <w:kern w:val="0"/>
                <w:sz w:val="24"/>
              </w:rPr>
              <w:lastRenderedPageBreak/>
              <w:t>序号</w:t>
            </w:r>
          </w:p>
        </w:tc>
        <w:tc>
          <w:tcPr>
            <w:tcW w:w="3622" w:type="dxa"/>
            <w:vAlign w:val="center"/>
          </w:tcPr>
          <w:p w:rsidR="00D305AB" w:rsidRDefault="00865A55">
            <w:pPr>
              <w:jc w:val="center"/>
              <w:rPr>
                <w:rFonts w:ascii="楷体_GB2312" w:eastAsia="楷体_GB2312" w:hAnsi="宋体" w:cs="宋体"/>
                <w:b/>
                <w:bCs/>
                <w:kern w:val="0"/>
                <w:sz w:val="30"/>
                <w:szCs w:val="30"/>
              </w:rPr>
            </w:pPr>
            <w:r>
              <w:rPr>
                <w:rFonts w:ascii="楷体_GB2312" w:eastAsia="楷体_GB2312" w:hAnsi="宋体" w:cs="宋体" w:hint="eastAsia"/>
                <w:b/>
                <w:bCs/>
                <w:kern w:val="0"/>
                <w:sz w:val="24"/>
              </w:rPr>
              <w:t>课题名称</w:t>
            </w:r>
          </w:p>
        </w:tc>
        <w:tc>
          <w:tcPr>
            <w:tcW w:w="1140" w:type="dxa"/>
            <w:vAlign w:val="center"/>
          </w:tcPr>
          <w:p w:rsidR="00D305AB" w:rsidRDefault="00865A55">
            <w:pPr>
              <w:jc w:val="center"/>
              <w:rPr>
                <w:rFonts w:ascii="楷体_GB2312" w:eastAsia="楷体_GB2312" w:hAnsi="宋体" w:cs="宋体"/>
                <w:b/>
                <w:bCs/>
                <w:kern w:val="0"/>
                <w:sz w:val="24"/>
              </w:rPr>
            </w:pPr>
            <w:r>
              <w:rPr>
                <w:rFonts w:ascii="楷体_GB2312" w:eastAsia="楷体_GB2312" w:hAnsi="宋体" w:cs="宋体" w:hint="eastAsia"/>
                <w:b/>
                <w:bCs/>
                <w:kern w:val="0"/>
                <w:sz w:val="24"/>
              </w:rPr>
              <w:t>课题负责人</w:t>
            </w:r>
          </w:p>
        </w:tc>
        <w:tc>
          <w:tcPr>
            <w:tcW w:w="2235" w:type="dxa"/>
            <w:vAlign w:val="center"/>
          </w:tcPr>
          <w:p w:rsidR="00D305AB" w:rsidRDefault="00865A55">
            <w:pPr>
              <w:jc w:val="center"/>
              <w:rPr>
                <w:rFonts w:ascii="楷体_GB2312" w:eastAsia="楷体_GB2312" w:hAnsi="宋体" w:cs="宋体"/>
                <w:b/>
                <w:bCs/>
                <w:kern w:val="0"/>
                <w:sz w:val="30"/>
                <w:szCs w:val="30"/>
              </w:rPr>
            </w:pPr>
            <w:r>
              <w:rPr>
                <w:rFonts w:ascii="楷体_GB2312" w:eastAsia="楷体_GB2312" w:hAnsi="宋体" w:cs="宋体" w:hint="eastAsia"/>
                <w:b/>
                <w:bCs/>
                <w:kern w:val="0"/>
                <w:sz w:val="24"/>
              </w:rPr>
              <w:t>工作单位</w:t>
            </w:r>
          </w:p>
        </w:tc>
      </w:tr>
      <w:tr w:rsidR="00D305AB">
        <w:trPr>
          <w:trHeight w:val="889"/>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SKZJ2021013</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微时代职业院校学生社会主义核心价值观的隐性教育研究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苏海新</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中共株洲市委党校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SKZJ2021014</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疫情背景下《传染病护理学》课程思政的实证研究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陈  丽</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湖南中医药高等专科学校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SKZJ2021015</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新时代背景下株洲职业院校学生学习能力调查</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蒋叶军</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湖南中医药高等专科学校</w:t>
            </w:r>
          </w:p>
        </w:tc>
      </w:tr>
      <w:tr w:rsidR="00D305AB">
        <w:trPr>
          <w:trHeight w:val="105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SKZJ2021016</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面向SPOC网络资源库的设计与在新型职业农民教育培训中的实践应用研究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李卫先</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湖南中医药高等专科学校</w:t>
            </w:r>
          </w:p>
        </w:tc>
      </w:tr>
      <w:tr w:rsidR="00D305AB">
        <w:trPr>
          <w:trHeight w:val="92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SKZJ2021017</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促进株洲职教学生返乡创业助力乡村振兴策略研究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周爱民</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湖南中医药高等专科学校</w:t>
            </w:r>
          </w:p>
        </w:tc>
      </w:tr>
      <w:tr w:rsidR="00D305AB">
        <w:trPr>
          <w:trHeight w:val="89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SKZJ2021018</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产教融合背景下高职院校专业动态调整机制研究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  辉</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湖南中医药高等专科学校</w:t>
            </w:r>
          </w:p>
        </w:tc>
      </w:tr>
      <w:tr w:rsidR="00D305AB">
        <w:trPr>
          <w:trHeight w:val="879"/>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SKZJ2021019</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高职院校构建校地合作志愿服务平台的探讨  </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  媛</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湖南化工职业技术学院</w:t>
            </w:r>
          </w:p>
        </w:tc>
      </w:tr>
      <w:tr w:rsidR="00D305AB">
        <w:trPr>
          <w:trHeight w:val="859"/>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SKZJ2021020</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新时代高职院校学生思想政治工作质量提升策略研究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刘其琛</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湖南化工职业技术学院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SKZJ2021021</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学分互认视角下的株洲职教城高职院校在线开放精品课程联盟建设研究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粟慧龙</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湖南铁道职业技术学院  </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SKZJ2021022</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“校地融合”背景下株洲地区高职院校中华优秀传统文化进校园的实施路径研究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黄刘婷</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湖南铁道职业技术学院  </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SKZJ2021023</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“三全育人”背景下《高职公共英语》课程思政教学设计与实施</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王咏梅</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湖南铁道职业技术学院  </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SKZJ2021024</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高职院校产业学院建设与运行机制研究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邝允新</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湖南铁道职业技术学院  </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SKZJ2021025</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深度产教融合视域下株洲市高职院校现代学徒制育人研究与实践</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褚衍廷</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1159"/>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lastRenderedPageBreak/>
              <w:t>SKZJ2021026</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“三全育人”视阈下高职院校学生思想政治教育影响因子主成分研究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曾  敏</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SKZJ2021027</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高职教育、职业本科教育与硕士学位教育的对接与融合研究——探索株洲职业教育与湖南工业大学专业硕士学位教育的有机衔接</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钱  娜</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SKZJ2021028</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县域职业教育支撑乡村振兴战略研究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彭  举</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SKZJ2021029</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基于 5G+智慧系统的职业教育专业教学资源库建设和使用研究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张灵芝</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SKZJ2021030</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产业学院建设内容与运行机制研究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刘宝磊</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SKZJ2021031</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1+X证书制度试点实践研究-基于株洲高职院校试点案例</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曾树华</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SKZJ2021032</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大数据背景下光伏发电技术及应用专业课程体系优化研究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范  飞</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rsidRPr="00DF2FCC">
        <w:trPr>
          <w:trHeight w:val="964"/>
        </w:trPr>
        <w:tc>
          <w:tcPr>
            <w:tcW w:w="1740" w:type="dxa"/>
            <w:vAlign w:val="center"/>
          </w:tcPr>
          <w:p w:rsidR="00D305AB" w:rsidRPr="00DF2FCC" w:rsidRDefault="00865A55">
            <w:pPr>
              <w:jc w:val="center"/>
              <w:rPr>
                <w:rFonts w:asciiTheme="majorEastAsia" w:eastAsiaTheme="majorEastAsia" w:hAnsiTheme="majorEastAsia" w:cstheme="majorEastAsia"/>
                <w:b/>
                <w:bCs/>
                <w:color w:val="FF0000"/>
                <w:sz w:val="24"/>
              </w:rPr>
            </w:pPr>
            <w:r w:rsidRPr="00DF2FCC">
              <w:rPr>
                <w:rFonts w:asciiTheme="majorEastAsia" w:eastAsiaTheme="majorEastAsia" w:hAnsiTheme="majorEastAsia" w:cstheme="majorEastAsia" w:hint="eastAsia"/>
                <w:b/>
                <w:bCs/>
                <w:color w:val="FF0000"/>
                <w:sz w:val="24"/>
              </w:rPr>
              <w:t>SKZJ2021033</w:t>
            </w:r>
          </w:p>
        </w:tc>
        <w:tc>
          <w:tcPr>
            <w:tcW w:w="3622" w:type="dxa"/>
            <w:vAlign w:val="center"/>
          </w:tcPr>
          <w:p w:rsidR="00D305AB" w:rsidRPr="00DF2FCC" w:rsidRDefault="00865A55">
            <w:pP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职教城一体化背景下职业院校学生思想政治状况及应对研究</w:t>
            </w:r>
          </w:p>
        </w:tc>
        <w:tc>
          <w:tcPr>
            <w:tcW w:w="1140"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陈光臻</w:t>
            </w:r>
          </w:p>
        </w:tc>
        <w:tc>
          <w:tcPr>
            <w:tcW w:w="2235" w:type="dxa"/>
            <w:vAlign w:val="center"/>
          </w:tcPr>
          <w:p w:rsidR="00D305AB" w:rsidRPr="00DF2FCC" w:rsidRDefault="00865A55">
            <w:pPr>
              <w:jc w:val="center"/>
              <w:rPr>
                <w:rFonts w:ascii="仿宋_GB2312" w:eastAsia="仿宋_GB2312" w:hAnsi="仿宋_GB2312" w:cs="仿宋_GB2312"/>
                <w:color w:val="FF0000"/>
                <w:sz w:val="24"/>
              </w:rPr>
            </w:pPr>
            <w:r w:rsidRPr="00DF2FCC">
              <w:rPr>
                <w:rFonts w:ascii="仿宋_GB2312" w:eastAsia="仿宋_GB2312" w:hAnsi="仿宋_GB2312" w:cs="仿宋_GB2312" w:hint="eastAsia"/>
                <w:color w:val="FF0000"/>
                <w:sz w:val="24"/>
              </w:rPr>
              <w:t>湖南铁路科技职业技术学院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SKZJ2021034</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中等职业学校班级建设研究-以湖南汽车工程职业学院中职部为例</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高  飞</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湖南汽车工程职业学院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SKZJ2021035</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“三教”改革背景下高职院校思政课创新研究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罗海萍</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湖南汽车工程职业学院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SKZJ2021036</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高职院校图书馆育人功能研究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肖燕子</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湖南汽车工程职业学院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SKZJ2021037</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“三高四新”战略下高职院校产教融合绩效评价体系研究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章建林</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120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SKZJ2021038</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职业院校学生思想政治状况研究－－以株洲市四所职业院校为例</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  权</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仿宋_GB2312" w:eastAsia="仿宋_GB2312" w:hAnsi="仿宋_GB2312" w:cs="仿宋_GB2312"/>
                <w:sz w:val="24"/>
              </w:rPr>
            </w:pPr>
            <w:r>
              <w:rPr>
                <w:rFonts w:asciiTheme="majorEastAsia" w:eastAsiaTheme="majorEastAsia" w:hAnsiTheme="majorEastAsia" w:cstheme="majorEastAsia" w:hint="eastAsia"/>
                <w:b/>
                <w:bCs/>
                <w:sz w:val="24"/>
              </w:rPr>
              <w:lastRenderedPageBreak/>
              <w:t>SKZJ2021039</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基于“双高”建设背景下高职院校学生思想政治素质提升策略研究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周四平</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仿宋_GB2312" w:eastAsia="仿宋_GB2312" w:hAnsi="仿宋_GB2312" w:cs="仿宋_GB2312"/>
                <w:sz w:val="24"/>
              </w:rPr>
            </w:pPr>
            <w:r>
              <w:rPr>
                <w:rFonts w:asciiTheme="majorEastAsia" w:eastAsiaTheme="majorEastAsia" w:hAnsiTheme="majorEastAsia" w:cstheme="majorEastAsia" w:hint="eastAsia"/>
                <w:b/>
                <w:bCs/>
                <w:sz w:val="24"/>
              </w:rPr>
              <w:t>SKZJ2021040</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新时代彰显民办高校辅导员队伍政治属性的路径研究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钟  原</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SKZJ2021041</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本科层次职业教育内涵及培养目标定位研究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陈  向</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SKZJ2021042</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产教融合背景下高职化工类专业实践教学质量评价体系研究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党铭铭</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SKZJ2021043</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1+X证书下高职财务管理专业产教融合人才培养实践研究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肖佩民</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SKZJ2021044</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基于校企协同的高职建筑专业“双师工作室”育人模式研究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段  慧</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湖南有色金属职业技术学院</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SKZJ2021045</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职业院校学生思想政治状况研究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李涌浩</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株洲市幼儿师范学校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SKZJ2021046</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职业院校教师技术服务和社会服务支持政策研究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周芝萍</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株洲市幼儿师范学校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SKZJ2021047</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中职《市场营销》“专思训创”四位一体课程开发实践 </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吴德望</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株洲市职工大学（工业学校）</w:t>
            </w:r>
          </w:p>
        </w:tc>
      </w:tr>
      <w:tr w:rsidR="00D305AB">
        <w:trPr>
          <w:trHeight w:val="964"/>
        </w:trPr>
        <w:tc>
          <w:tcPr>
            <w:tcW w:w="1740" w:type="dxa"/>
            <w:vAlign w:val="center"/>
          </w:tcPr>
          <w:p w:rsidR="00D305AB" w:rsidRDefault="00865A55">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SKZJ2021048</w:t>
            </w:r>
          </w:p>
        </w:tc>
        <w:tc>
          <w:tcPr>
            <w:tcW w:w="3622" w:type="dxa"/>
            <w:vAlign w:val="center"/>
          </w:tcPr>
          <w:p w:rsidR="00D305AB" w:rsidRDefault="00865A55">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新时代背景下构建技术技能人才成长“立交桥”模式探究</w:t>
            </w:r>
          </w:p>
        </w:tc>
        <w:tc>
          <w:tcPr>
            <w:tcW w:w="1140"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周  晗</w:t>
            </w:r>
          </w:p>
        </w:tc>
        <w:tc>
          <w:tcPr>
            <w:tcW w:w="2235" w:type="dxa"/>
            <w:vAlign w:val="center"/>
          </w:tcPr>
          <w:p w:rsidR="00D305AB" w:rsidRDefault="00865A5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株洲南方航空高级技工学校</w:t>
            </w:r>
          </w:p>
        </w:tc>
      </w:tr>
    </w:tbl>
    <w:p w:rsidR="00D305AB" w:rsidRDefault="00D305AB"/>
    <w:p w:rsidR="00D305AB" w:rsidRDefault="00D305AB"/>
    <w:sectPr w:rsidR="00D305AB" w:rsidSect="00D305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7851E50"/>
    <w:rsid w:val="00191CA3"/>
    <w:rsid w:val="00865A55"/>
    <w:rsid w:val="00D305AB"/>
    <w:rsid w:val="00DF2FCC"/>
    <w:rsid w:val="67851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5A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305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65A55"/>
    <w:rPr>
      <w:sz w:val="18"/>
      <w:szCs w:val="18"/>
    </w:rPr>
  </w:style>
  <w:style w:type="character" w:customStyle="1" w:styleId="Char">
    <w:name w:val="批注框文本 Char"/>
    <w:basedOn w:val="a0"/>
    <w:link w:val="a4"/>
    <w:rsid w:val="00865A5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颜泽玲</cp:lastModifiedBy>
  <cp:revision>3</cp:revision>
  <dcterms:created xsi:type="dcterms:W3CDTF">2021-02-09T06:10:00Z</dcterms:created>
  <dcterms:modified xsi:type="dcterms:W3CDTF">2021-03-09T01:45:00Z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