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FF" w:rsidRDefault="00DD50FF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  <w:t>1</w:t>
      </w:r>
    </w:p>
    <w:p w:rsidR="00DD50FF" w:rsidRDefault="00DD50FF">
      <w:pPr>
        <w:widowControl/>
        <w:shd w:val="clear" w:color="auto" w:fill="FFFFFF"/>
        <w:spacing w:line="600" w:lineRule="exact"/>
        <w:jc w:val="left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</w:p>
    <w:p w:rsidR="00DD50FF" w:rsidRDefault="00DD50FF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Calibri"/>
          <w:spacing w:val="20"/>
          <w:sz w:val="36"/>
          <w:szCs w:val="36"/>
        </w:rPr>
      </w:pPr>
      <w:r>
        <w:rPr>
          <w:rFonts w:ascii="方正小标宋简体" w:eastAsia="方正小标宋简体" w:hAnsi="Calibri" w:cs="方正小标宋简体"/>
          <w:spacing w:val="20"/>
          <w:sz w:val="36"/>
          <w:szCs w:val="36"/>
        </w:rPr>
        <w:t>2021</w:t>
      </w:r>
      <w:r>
        <w:rPr>
          <w:rFonts w:ascii="方正小标宋简体" w:eastAsia="方正小标宋简体" w:hAnsi="Calibri" w:cs="方正小标宋简体" w:hint="eastAsia"/>
          <w:spacing w:val="20"/>
          <w:sz w:val="36"/>
          <w:szCs w:val="36"/>
        </w:rPr>
        <w:t>年株洲市社科职教专项课题指南</w:t>
      </w:r>
    </w:p>
    <w:p w:rsidR="00DD50FF" w:rsidRDefault="00DD50FF">
      <w:pPr>
        <w:jc w:val="left"/>
        <w:rPr>
          <w:rFonts w:ascii="黑体" w:eastAsia="黑体" w:hAnsi="Calibri"/>
          <w:sz w:val="32"/>
          <w:szCs w:val="32"/>
        </w:rPr>
      </w:pPr>
    </w:p>
    <w:p w:rsidR="00DD50FF" w:rsidRDefault="00DD50FF">
      <w:pPr>
        <w:jc w:val="left"/>
        <w:rPr>
          <w:rFonts w:ascii="黑体" w:eastAsia="黑体" w:hAnsi="Calibri"/>
          <w:sz w:val="32"/>
          <w:szCs w:val="32"/>
        </w:rPr>
      </w:pPr>
      <w:r>
        <w:rPr>
          <w:rFonts w:ascii="黑体" w:eastAsia="黑体" w:hAnsi="Calibri" w:cs="黑体" w:hint="eastAsia"/>
          <w:sz w:val="32"/>
          <w:szCs w:val="32"/>
        </w:rPr>
        <w:t>一、重点课题</w:t>
      </w:r>
    </w:p>
    <w:p w:rsidR="00DD50FF" w:rsidRDefault="00DD50FF" w:rsidP="00D751AD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“十四五”株洲市职业教育发展规划研究</w:t>
      </w:r>
    </w:p>
    <w:p w:rsidR="00DD50FF" w:rsidRDefault="00DD50FF" w:rsidP="00D751AD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职业院校股份制、混合所有制改革研究</w:t>
      </w:r>
    </w:p>
    <w:p w:rsidR="00DD50FF" w:rsidRDefault="00DD50FF" w:rsidP="00D751AD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产教融合型城市与产教融合企业建设研究</w:t>
      </w:r>
    </w:p>
    <w:p w:rsidR="00DD50FF" w:rsidRDefault="00DD50FF" w:rsidP="00D751AD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4.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株洲新兴产业技能人才供需关系分析</w:t>
      </w:r>
    </w:p>
    <w:p w:rsidR="00DD50FF" w:rsidRDefault="00DD50FF">
      <w:pPr>
        <w:jc w:val="left"/>
        <w:rPr>
          <w:rFonts w:ascii="黑体" w:eastAsia="黑体" w:hAnsi="Calibri"/>
          <w:sz w:val="32"/>
          <w:szCs w:val="32"/>
        </w:rPr>
      </w:pPr>
      <w:r>
        <w:rPr>
          <w:rFonts w:ascii="黑体" w:eastAsia="黑体" w:hAnsi="Calibri" w:cs="黑体" w:hint="eastAsia"/>
          <w:sz w:val="32"/>
          <w:szCs w:val="32"/>
        </w:rPr>
        <w:t>二、一般课题</w:t>
      </w:r>
    </w:p>
    <w:p w:rsidR="00DD50FF" w:rsidRDefault="00DD50FF" w:rsidP="00D751AD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县域职业教育支撑乡村振兴战略研究</w:t>
      </w:r>
    </w:p>
    <w:p w:rsidR="00DD50FF" w:rsidRDefault="00DD50FF" w:rsidP="00D751AD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本科层次职业教育发展研究</w:t>
      </w:r>
    </w:p>
    <w:p w:rsidR="00DD50FF" w:rsidRDefault="00DD50FF" w:rsidP="00D751AD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3.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职业院校中、专、本衔接研究</w:t>
      </w:r>
    </w:p>
    <w:p w:rsidR="00DD50FF" w:rsidRDefault="00DD50FF" w:rsidP="00D751AD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4.1+X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证书制度和国家资历框架制度试点实践研究</w:t>
      </w:r>
    </w:p>
    <w:p w:rsidR="00DD50FF" w:rsidRDefault="00DD50FF" w:rsidP="00D751AD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5.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职业院校专业设置与课程建设研究</w:t>
      </w:r>
    </w:p>
    <w:p w:rsidR="00DD50FF" w:rsidRDefault="00DD50FF" w:rsidP="00D751AD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6.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高职“双高”质量提升策略研究</w:t>
      </w:r>
    </w:p>
    <w:p w:rsidR="00DD50FF" w:rsidRDefault="00DD50FF" w:rsidP="00D751AD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7.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职业院校教师技术服务和社会服务支持政策研究</w:t>
      </w:r>
    </w:p>
    <w:p w:rsidR="00DD50FF" w:rsidRDefault="00DD50FF" w:rsidP="00D751AD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宋体"/>
          <w:color w:val="000000"/>
          <w:spacing w:val="-11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8.</w:t>
      </w:r>
      <w:r>
        <w:rPr>
          <w:rFonts w:ascii="仿宋_GB2312" w:eastAsia="仿宋_GB2312" w:hAnsi="宋体" w:cs="仿宋_GB2312" w:hint="eastAsia"/>
          <w:color w:val="000000"/>
          <w:spacing w:val="-11"/>
          <w:kern w:val="0"/>
          <w:sz w:val="32"/>
          <w:szCs w:val="32"/>
        </w:rPr>
        <w:t>职业教育专业教学质量评价及专业预警调控机制研究</w:t>
      </w:r>
    </w:p>
    <w:p w:rsidR="00DD50FF" w:rsidRDefault="00DD50FF" w:rsidP="00D751AD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9.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职业教育专业教学资源库和在线开放精品课程建设和使用研究</w:t>
      </w:r>
    </w:p>
    <w:p w:rsidR="00DD50FF" w:rsidRDefault="00DD50FF" w:rsidP="00D751AD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10.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职业院校学生思想政治状况研究；</w:t>
      </w:r>
    </w:p>
    <w:p w:rsidR="00DD50FF" w:rsidRDefault="00DD50FF" w:rsidP="00D751AD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11.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职业院校学生学习能力调查</w:t>
      </w:r>
    </w:p>
    <w:p w:rsidR="00DD50FF" w:rsidRDefault="00DD50FF" w:rsidP="00D751AD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12.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职业院校“三教”改革实践研究</w:t>
      </w:r>
    </w:p>
    <w:p w:rsidR="00DD50FF" w:rsidRDefault="00DD50FF" w:rsidP="00D751AD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13.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中等职业学校班级建设研究</w:t>
      </w:r>
    </w:p>
    <w:p w:rsidR="00DD50FF" w:rsidRDefault="00DD50FF" w:rsidP="00D751AD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14.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产业学院建设内容与运行机制研究</w:t>
      </w:r>
    </w:p>
    <w:p w:rsidR="00DD50FF" w:rsidRDefault="00DD50FF" w:rsidP="00D751AD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15.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民办职业教育办学现状与改革研究</w:t>
      </w:r>
    </w:p>
    <w:p w:rsidR="00DD50FF" w:rsidRDefault="00DD50FF" w:rsidP="00D751AD">
      <w:pPr>
        <w:widowControl/>
        <w:shd w:val="clear" w:color="auto" w:fill="FFFFFF"/>
        <w:spacing w:line="600" w:lineRule="exact"/>
        <w:ind w:firstLineChars="200" w:firstLine="31680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16.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民办中等职业学校师资队伍建设研究</w:t>
      </w:r>
    </w:p>
    <w:p w:rsidR="00DD50FF" w:rsidRDefault="00DD50FF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b/>
          <w:bCs/>
          <w:color w:val="000000"/>
          <w:kern w:val="0"/>
          <w:sz w:val="32"/>
          <w:szCs w:val="32"/>
        </w:rPr>
      </w:pPr>
    </w:p>
    <w:p w:rsidR="00DD50FF" w:rsidRDefault="00DD50FF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b/>
          <w:bCs/>
          <w:color w:val="000000"/>
          <w:kern w:val="0"/>
          <w:sz w:val="32"/>
          <w:szCs w:val="32"/>
        </w:rPr>
      </w:pPr>
    </w:p>
    <w:p w:rsidR="00DD50FF" w:rsidRDefault="00DD50FF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b/>
          <w:bCs/>
          <w:color w:val="000000"/>
          <w:kern w:val="0"/>
          <w:sz w:val="32"/>
          <w:szCs w:val="32"/>
        </w:rPr>
      </w:pPr>
    </w:p>
    <w:p w:rsidR="00DD50FF" w:rsidRDefault="00DD50FF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b/>
          <w:bCs/>
          <w:color w:val="000000"/>
          <w:kern w:val="0"/>
          <w:sz w:val="32"/>
          <w:szCs w:val="32"/>
        </w:rPr>
      </w:pPr>
    </w:p>
    <w:p w:rsidR="00DD50FF" w:rsidRDefault="00DD50FF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b/>
          <w:bCs/>
          <w:color w:val="000000"/>
          <w:kern w:val="0"/>
          <w:sz w:val="32"/>
          <w:szCs w:val="32"/>
        </w:rPr>
      </w:pPr>
    </w:p>
    <w:p w:rsidR="00DD50FF" w:rsidRDefault="00DD50FF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b/>
          <w:bCs/>
          <w:color w:val="000000"/>
          <w:kern w:val="0"/>
          <w:sz w:val="32"/>
          <w:szCs w:val="32"/>
        </w:rPr>
      </w:pPr>
    </w:p>
    <w:p w:rsidR="00DD50FF" w:rsidRDefault="00DD50FF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b/>
          <w:bCs/>
          <w:color w:val="000000"/>
          <w:kern w:val="0"/>
          <w:sz w:val="32"/>
          <w:szCs w:val="32"/>
        </w:rPr>
      </w:pPr>
    </w:p>
    <w:p w:rsidR="00DD50FF" w:rsidRDefault="00DD50FF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b/>
          <w:bCs/>
          <w:color w:val="000000"/>
          <w:kern w:val="0"/>
          <w:sz w:val="32"/>
          <w:szCs w:val="32"/>
        </w:rPr>
      </w:pPr>
    </w:p>
    <w:p w:rsidR="00DD50FF" w:rsidRDefault="00DD50FF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b/>
          <w:bCs/>
          <w:color w:val="000000"/>
          <w:kern w:val="0"/>
          <w:sz w:val="32"/>
          <w:szCs w:val="32"/>
        </w:rPr>
      </w:pPr>
    </w:p>
    <w:p w:rsidR="00DD50FF" w:rsidRDefault="00DD50FF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b/>
          <w:bCs/>
          <w:color w:val="000000"/>
          <w:kern w:val="0"/>
          <w:sz w:val="32"/>
          <w:szCs w:val="32"/>
        </w:rPr>
      </w:pPr>
    </w:p>
    <w:p w:rsidR="00DD50FF" w:rsidRDefault="00DD50FF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b/>
          <w:bCs/>
          <w:color w:val="000000"/>
          <w:kern w:val="0"/>
          <w:sz w:val="32"/>
          <w:szCs w:val="32"/>
        </w:rPr>
      </w:pPr>
    </w:p>
    <w:p w:rsidR="00DD50FF" w:rsidRDefault="00DD50FF">
      <w:pPr>
        <w:widowControl/>
        <w:shd w:val="clear" w:color="auto" w:fill="FFFFFF"/>
        <w:spacing w:line="600" w:lineRule="exact"/>
        <w:jc w:val="left"/>
        <w:rPr>
          <w:rFonts w:ascii="黑体" w:eastAsia="黑体" w:hAnsi="黑体"/>
          <w:b/>
          <w:bCs/>
          <w:color w:val="000000"/>
          <w:kern w:val="0"/>
          <w:sz w:val="32"/>
          <w:szCs w:val="32"/>
        </w:rPr>
      </w:pPr>
    </w:p>
    <w:sectPr w:rsidR="00DD50FF" w:rsidSect="008A0634">
      <w:footerReference w:type="default" r:id="rId7"/>
      <w:pgSz w:w="11906" w:h="16838"/>
      <w:pgMar w:top="1701" w:right="1418" w:bottom="170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0FF" w:rsidRDefault="00DD50FF" w:rsidP="008A0634">
      <w:r>
        <w:separator/>
      </w:r>
    </w:p>
  </w:endnote>
  <w:endnote w:type="continuationSeparator" w:id="0">
    <w:p w:rsidR="00DD50FF" w:rsidRDefault="00DD50FF" w:rsidP="008A0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0FF" w:rsidRDefault="00DD50F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60288;mso-wrap-style:none;mso-position-horizontal:right;mso-position-horizontal-relative:margin" filled="f" stroked="f">
          <v:textbox style="mso-next-textbox:#_x0000_s2049;mso-fit-shape-to-text:t" inset="0,0,0,0">
            <w:txbxContent>
              <w:p w:rsidR="00DD50FF" w:rsidRDefault="00DD50FF">
                <w:pPr>
                  <w:snapToGrid w:val="0"/>
                  <w:rPr>
                    <w:sz w:val="18"/>
                    <w:szCs w:val="18"/>
                  </w:rPr>
                </w:pPr>
                <w:fldSimple w:instr=" PAGE  \* MERGEFORMAT ">
                  <w:r w:rsidRPr="00D751AD">
                    <w:rPr>
                      <w:noProof/>
                      <w:sz w:val="18"/>
                      <w:szCs w:val="18"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0FF" w:rsidRDefault="00DD50FF" w:rsidP="008A0634">
      <w:r>
        <w:separator/>
      </w:r>
    </w:p>
  </w:footnote>
  <w:footnote w:type="continuationSeparator" w:id="0">
    <w:p w:rsidR="00DD50FF" w:rsidRDefault="00DD50FF" w:rsidP="008A06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B0B38"/>
    <w:multiLevelType w:val="singleLevel"/>
    <w:tmpl w:val="563B0B38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D4B1AB9"/>
    <w:rsid w:val="0063560F"/>
    <w:rsid w:val="00674FFA"/>
    <w:rsid w:val="008A0634"/>
    <w:rsid w:val="0098366B"/>
    <w:rsid w:val="00A83016"/>
    <w:rsid w:val="00C877CF"/>
    <w:rsid w:val="00D751AD"/>
    <w:rsid w:val="00DD50FF"/>
    <w:rsid w:val="04CD18C2"/>
    <w:rsid w:val="0BD8645C"/>
    <w:rsid w:val="0D4B1AB9"/>
    <w:rsid w:val="116F4FF0"/>
    <w:rsid w:val="16BE3B8F"/>
    <w:rsid w:val="1C953217"/>
    <w:rsid w:val="28437E58"/>
    <w:rsid w:val="29E44D4A"/>
    <w:rsid w:val="35C66618"/>
    <w:rsid w:val="37933347"/>
    <w:rsid w:val="442E6BDB"/>
    <w:rsid w:val="44B221A0"/>
    <w:rsid w:val="4955271C"/>
    <w:rsid w:val="4C7D4AE8"/>
    <w:rsid w:val="4CA44ADB"/>
    <w:rsid w:val="4D2544A4"/>
    <w:rsid w:val="54C10B10"/>
    <w:rsid w:val="554C4DF0"/>
    <w:rsid w:val="584F629F"/>
    <w:rsid w:val="70144C30"/>
    <w:rsid w:val="73434141"/>
    <w:rsid w:val="77EF3815"/>
    <w:rsid w:val="7B3E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634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8A0634"/>
    <w:rPr>
      <w:rFonts w:eastAsia="仿宋_GB2312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semiHidden/>
    <w:rsid w:val="00521887"/>
    <w:rPr>
      <w:rFonts w:ascii="Times New Roman" w:hAnsi="Times New Roman"/>
      <w:szCs w:val="21"/>
    </w:rPr>
  </w:style>
  <w:style w:type="paragraph" w:styleId="Footer">
    <w:name w:val="footer"/>
    <w:basedOn w:val="Normal"/>
    <w:link w:val="FooterChar"/>
    <w:uiPriority w:val="99"/>
    <w:rsid w:val="008A06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21887"/>
    <w:rPr>
      <w:rFonts w:ascii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rsid w:val="008A0634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Style3">
    <w:name w:val="_Style 3"/>
    <w:basedOn w:val="Normal"/>
    <w:next w:val="Normal"/>
    <w:uiPriority w:val="99"/>
    <w:rsid w:val="008A0634"/>
    <w:pPr>
      <w:pBdr>
        <w:bottom w:val="single" w:sz="6" w:space="1" w:color="auto"/>
      </w:pBdr>
      <w:jc w:val="center"/>
    </w:pPr>
    <w:rPr>
      <w:rFonts w:asci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67</Words>
  <Characters>383</Characters>
  <Application>Microsoft Office Outlook</Application>
  <DocSecurity>0</DocSecurity>
  <Lines>0</Lines>
  <Paragraphs>0</Paragraphs>
  <ScaleCrop>false</ScaleCrop>
  <Company>ghostXp3.Com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株洲市社科联刘合群</dc:creator>
  <cp:keywords/>
  <dc:description/>
  <cp:lastModifiedBy>admin</cp:lastModifiedBy>
  <cp:revision>3</cp:revision>
  <cp:lastPrinted>2020-12-31T00:52:00Z</cp:lastPrinted>
  <dcterms:created xsi:type="dcterms:W3CDTF">2020-12-31T08:18:00Z</dcterms:created>
  <dcterms:modified xsi:type="dcterms:W3CDTF">2021-01-04T01:47:00Z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